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5BD48" w14:textId="77777777" w:rsidR="009C1220" w:rsidRPr="00C000DE" w:rsidRDefault="009C1220" w:rsidP="009C1220">
      <w:pPr>
        <w:jc w:val="center"/>
        <w:rPr>
          <w:b/>
          <w:color w:val="2E74B5" w:themeColor="accent1" w:themeShade="BF"/>
          <w:sz w:val="24"/>
        </w:rPr>
      </w:pPr>
      <w:bookmarkStart w:id="0" w:name="_GoBack"/>
      <w:bookmarkEnd w:id="0"/>
      <w:r w:rsidRPr="00C000DE">
        <w:rPr>
          <w:b/>
          <w:color w:val="2E74B5" w:themeColor="accent1" w:themeShade="BF"/>
          <w:sz w:val="24"/>
        </w:rPr>
        <w:t>DÚVIDAS SOBRE NOTAS FISCAIS MODELOS 21 e 22 (comunicação e telecomunicação)</w:t>
      </w:r>
    </w:p>
    <w:p w14:paraId="1D1B35C5" w14:textId="77777777" w:rsidR="009C1220" w:rsidRDefault="009C1220" w:rsidP="009C1220"/>
    <w:p w14:paraId="37EA8C67" w14:textId="729EE2F1" w:rsidR="009C1220" w:rsidRPr="002476A5" w:rsidRDefault="009C1220" w:rsidP="009C1220">
      <w:pPr>
        <w:jc w:val="both"/>
        <w:rPr>
          <w:b/>
        </w:rPr>
      </w:pPr>
      <w:r w:rsidRPr="009C1220">
        <w:rPr>
          <w:b/>
        </w:rPr>
        <w:t>No caso de necessitar retificar uma nota no modelo citado</w:t>
      </w:r>
      <w:r w:rsidR="00D65F02">
        <w:rPr>
          <w:b/>
        </w:rPr>
        <w:t xml:space="preserve"> (</w:t>
      </w:r>
      <w:r w:rsidR="00F3004B">
        <w:rPr>
          <w:b/>
        </w:rPr>
        <w:t xml:space="preserve">21 ou </w:t>
      </w:r>
      <w:r w:rsidR="00D65F02">
        <w:rPr>
          <w:b/>
        </w:rPr>
        <w:t>22)</w:t>
      </w:r>
      <w:r w:rsidRPr="009C1220">
        <w:rPr>
          <w:b/>
        </w:rPr>
        <w:t>, uso o mesmo procedimento relacionado a NFE Modelo 55 ou há algum procedimento especial relacionado ao serviço de comunicação?</w:t>
      </w:r>
    </w:p>
    <w:p w14:paraId="3C1909FC" w14:textId="77777777" w:rsidR="009C1220" w:rsidRDefault="009C1220" w:rsidP="009C1220">
      <w:pPr>
        <w:jc w:val="both"/>
      </w:pPr>
      <w:r>
        <w:t xml:space="preserve">Resposta: Não. O procedimento é diferente. O contribuinte deve obedecer as regras do </w:t>
      </w:r>
      <w:r w:rsidRPr="00BF52A9">
        <w:rPr>
          <w:u w:val="single"/>
        </w:rPr>
        <w:t>Convênio ICMS 115/2003</w:t>
      </w:r>
      <w:r>
        <w:t xml:space="preserve">. </w:t>
      </w:r>
    </w:p>
    <w:p w14:paraId="27A0D5BA" w14:textId="77777777" w:rsidR="00BF52A9" w:rsidRDefault="009C1220" w:rsidP="009C1220">
      <w:pPr>
        <w:jc w:val="both"/>
      </w:pPr>
      <w:r>
        <w:t xml:space="preserve">Deverá ser observado as disposições do item 5.2.4 do Anexo Único do Convênio ICMS 115/2003, que orienta sobre os </w:t>
      </w:r>
      <w:r w:rsidRPr="00BF52A9">
        <w:rPr>
          <w:b/>
          <w:u w:val="single"/>
        </w:rPr>
        <w:t>casos de cancelamento</w:t>
      </w:r>
      <w:r>
        <w:t xml:space="preserve"> de NFSC modelo 21: </w:t>
      </w:r>
    </w:p>
    <w:p w14:paraId="6033F77E" w14:textId="77777777" w:rsidR="00BF52A9" w:rsidRDefault="009C1220" w:rsidP="009C1220">
      <w:pPr>
        <w:jc w:val="both"/>
      </w:pPr>
      <w:r>
        <w:t xml:space="preserve">5.2.4. Informações de controle </w:t>
      </w:r>
    </w:p>
    <w:p w14:paraId="44AA7C15" w14:textId="77777777" w:rsidR="00BF52A9" w:rsidRDefault="009C1220" w:rsidP="009C1220">
      <w:pPr>
        <w:jc w:val="both"/>
      </w:pPr>
      <w:r>
        <w:t xml:space="preserve">5.2.4.1. Campo 19 - Informar a situação do documento. Este campo deve ser preenchido com: 5.2.4.1.1. "S", em se tratando de documento fiscal </w:t>
      </w:r>
      <w:r w:rsidRPr="009C1220">
        <w:rPr>
          <w:u w:val="single"/>
        </w:rPr>
        <w:t>cancelado dentro do mesmo período</w:t>
      </w:r>
      <w:r>
        <w:t xml:space="preserve"> de apuração; </w:t>
      </w:r>
    </w:p>
    <w:p w14:paraId="5B670D44" w14:textId="77777777" w:rsidR="00BF52A9" w:rsidRDefault="009C1220" w:rsidP="009C1220">
      <w:pPr>
        <w:jc w:val="both"/>
      </w:pPr>
      <w:r>
        <w:t xml:space="preserve">5.2.4.1.2. "R", em se tratando de documento fiscal </w:t>
      </w:r>
      <w:r w:rsidRPr="00E85F67">
        <w:rPr>
          <w:u w:val="single"/>
        </w:rPr>
        <w:t>emitido em substituição a um documento fiscal cancelado dentro do mesmo período</w:t>
      </w:r>
      <w:r>
        <w:t xml:space="preserve"> de apuração; </w:t>
      </w:r>
    </w:p>
    <w:p w14:paraId="1B74C92A" w14:textId="77777777" w:rsidR="00BF52A9" w:rsidRDefault="009C1220" w:rsidP="009C1220">
      <w:pPr>
        <w:jc w:val="both"/>
      </w:pPr>
      <w:r>
        <w:t xml:space="preserve">5.2.4.1.3. "C", em se tratando de documento fiscal </w:t>
      </w:r>
      <w:r w:rsidRPr="00E85F67">
        <w:rPr>
          <w:u w:val="single"/>
        </w:rPr>
        <w:t>complementar</w:t>
      </w:r>
      <w:r>
        <w:t xml:space="preserve">; </w:t>
      </w:r>
    </w:p>
    <w:p w14:paraId="6A561377" w14:textId="77777777" w:rsidR="00BF52A9" w:rsidRDefault="009C1220" w:rsidP="009C1220">
      <w:pPr>
        <w:jc w:val="both"/>
      </w:pPr>
      <w:r>
        <w:t xml:space="preserve">5.2.4.1.4. "N", nos demais casos. </w:t>
      </w:r>
    </w:p>
    <w:p w14:paraId="0335B9D0" w14:textId="77777777" w:rsidR="009C1220" w:rsidRDefault="009C1220" w:rsidP="009C1220">
      <w:pPr>
        <w:jc w:val="both"/>
      </w:pPr>
      <w:r>
        <w:t xml:space="preserve">5.2.4.1.5. Nas hipóteses de situação "R" ou "C", deve ser preenchido o campo 34 - "Informações Adicionais" </w:t>
      </w:r>
    </w:p>
    <w:p w14:paraId="3F262486" w14:textId="77777777" w:rsidR="00940BB6" w:rsidRDefault="00E85F67" w:rsidP="00E85F67">
      <w:pPr>
        <w:jc w:val="both"/>
      </w:pPr>
      <w:r>
        <w:t>Desta forma,</w:t>
      </w:r>
      <w:r w:rsidR="009C1220">
        <w:t xml:space="preserve"> </w:t>
      </w:r>
      <w:r>
        <w:t>d</w:t>
      </w:r>
      <w:r w:rsidR="009C1220">
        <w:t>everá ser emitido outro documento fiscal, acrescentando ou excluindo item da NFSC ou, se for o caso, efetuar o cancelamento da nota fiscal e emitir outra, conforme Anexo único do Convênio ICMS 115/2003, item 5.2.4.</w:t>
      </w:r>
    </w:p>
    <w:p w14:paraId="3553F8DB" w14:textId="77777777" w:rsidR="00650DA7" w:rsidRDefault="00650DA7" w:rsidP="00E85F67">
      <w:pPr>
        <w:jc w:val="both"/>
        <w:rPr>
          <w:b/>
          <w:sz w:val="24"/>
        </w:rPr>
      </w:pPr>
    </w:p>
    <w:p w14:paraId="717EC1AC" w14:textId="77777777" w:rsidR="00E85F67" w:rsidRPr="00650DA7" w:rsidRDefault="00650DA7" w:rsidP="00E85F67">
      <w:pPr>
        <w:jc w:val="both"/>
        <w:rPr>
          <w:b/>
          <w:sz w:val="24"/>
        </w:rPr>
      </w:pPr>
      <w:r>
        <w:rPr>
          <w:b/>
          <w:sz w:val="24"/>
        </w:rPr>
        <w:t>PARA EMPRESAS QUE ESTÃO NA APURAÇÃO NORMAL DO ICMS</w:t>
      </w:r>
    </w:p>
    <w:p w14:paraId="26D8D4B4" w14:textId="77777777" w:rsidR="00E85F67" w:rsidRDefault="00E85F67" w:rsidP="00E85F67">
      <w:pPr>
        <w:jc w:val="both"/>
      </w:pPr>
      <w:r>
        <w:t xml:space="preserve">Caso o erro esteja em </w:t>
      </w:r>
      <w:r w:rsidRPr="00BF52A9">
        <w:rPr>
          <w:b/>
          <w:u w:val="single"/>
        </w:rPr>
        <w:t>período de apuração passado</w:t>
      </w:r>
      <w:r>
        <w:t xml:space="preserve">, deverá </w:t>
      </w:r>
      <w:r w:rsidR="002B4FDD">
        <w:t>obedecer ao</w:t>
      </w:r>
      <w:r w:rsidR="00ED5B35">
        <w:t xml:space="preserve"> que reza </w:t>
      </w:r>
      <w:r>
        <w:t xml:space="preserve">o artigo 739 do RICMS/MT, aprovado pelo Decreto 2.212/2014, que prevê o </w:t>
      </w:r>
      <w:r w:rsidRPr="002B4FDD">
        <w:rPr>
          <w:u w:val="single"/>
        </w:rPr>
        <w:t>ESTORNO DE DÉBITO</w:t>
      </w:r>
      <w:r w:rsidR="00D65F02" w:rsidRPr="002B4FDD">
        <w:rPr>
          <w:u w:val="single"/>
        </w:rPr>
        <w:t xml:space="preserve"> (através de processo administrativo</w:t>
      </w:r>
      <w:r w:rsidR="00D65F02">
        <w:t>)</w:t>
      </w:r>
      <w:r>
        <w:t>:</w:t>
      </w:r>
    </w:p>
    <w:p w14:paraId="6764C28C" w14:textId="77777777" w:rsidR="00E85F67" w:rsidRDefault="00E85F67" w:rsidP="00E85F67">
      <w:pPr>
        <w:ind w:left="1701"/>
        <w:jc w:val="both"/>
        <w:rPr>
          <w:rStyle w:val="nfase"/>
          <w:rFonts w:ascii="Arial" w:hAnsi="Arial" w:cs="Arial"/>
          <w:color w:val="222222"/>
          <w:sz w:val="20"/>
          <w:szCs w:val="26"/>
        </w:rPr>
      </w:pPr>
      <w:r w:rsidRPr="00E85F67">
        <w:rPr>
          <w:rStyle w:val="Forte"/>
          <w:rFonts w:ascii="Arial" w:hAnsi="Arial" w:cs="Arial"/>
          <w:color w:val="222222"/>
          <w:sz w:val="20"/>
          <w:szCs w:val="26"/>
        </w:rPr>
        <w:t>Art. 739</w:t>
      </w:r>
      <w:r w:rsidRPr="00E85F67">
        <w:rPr>
          <w:rFonts w:ascii="Arial" w:hAnsi="Arial" w:cs="Arial"/>
          <w:color w:val="222222"/>
          <w:sz w:val="20"/>
          <w:szCs w:val="26"/>
        </w:rPr>
        <w:t xml:space="preserve"> O estorno de débito do imposto pela operadora mato-grossense, </w:t>
      </w:r>
      <w:r w:rsidRPr="00744E7A">
        <w:rPr>
          <w:rFonts w:ascii="Arial" w:hAnsi="Arial" w:cs="Arial"/>
          <w:color w:val="222222"/>
          <w:sz w:val="20"/>
          <w:szCs w:val="26"/>
          <w:u w:val="single"/>
        </w:rPr>
        <w:t>em face de rejeição ou reclamação contra a cobrança pelo usuário final</w:t>
      </w:r>
      <w:r w:rsidRPr="00E85F67">
        <w:rPr>
          <w:rFonts w:ascii="Arial" w:hAnsi="Arial" w:cs="Arial"/>
          <w:color w:val="222222"/>
          <w:sz w:val="20"/>
          <w:szCs w:val="26"/>
        </w:rPr>
        <w:t>, fica condicionado ao atendimento do disposto neste artigo. </w:t>
      </w:r>
      <w:r w:rsidRPr="00E85F67">
        <w:rPr>
          <w:rStyle w:val="nfase"/>
          <w:rFonts w:ascii="Arial" w:hAnsi="Arial" w:cs="Arial"/>
          <w:color w:val="222222"/>
          <w:sz w:val="20"/>
          <w:szCs w:val="26"/>
        </w:rPr>
        <w:t>(v. cláusula primeira do </w:t>
      </w:r>
      <w:hyperlink r:id="rId4" w:history="1">
        <w:r w:rsidRPr="00E85F67">
          <w:rPr>
            <w:rStyle w:val="Hyperlink"/>
            <w:rFonts w:ascii="Arial" w:hAnsi="Arial" w:cs="Arial"/>
            <w:i/>
            <w:iCs/>
            <w:color w:val="663399"/>
            <w:sz w:val="20"/>
            <w:szCs w:val="26"/>
            <w:u w:val="none"/>
          </w:rPr>
          <w:t>Convênio ICMS 123/2005​</w:t>
        </w:r>
      </w:hyperlink>
      <w:r>
        <w:rPr>
          <w:rStyle w:val="nfase"/>
          <w:rFonts w:ascii="Arial" w:hAnsi="Arial" w:cs="Arial"/>
          <w:color w:val="222222"/>
          <w:sz w:val="20"/>
          <w:szCs w:val="26"/>
        </w:rPr>
        <w:t>.</w:t>
      </w:r>
    </w:p>
    <w:p w14:paraId="1F8867CD" w14:textId="77777777" w:rsidR="00744E7A" w:rsidRPr="00744E7A" w:rsidRDefault="00744E7A" w:rsidP="00744E7A">
      <w:pPr>
        <w:ind w:left="1701"/>
        <w:jc w:val="both"/>
        <w:rPr>
          <w:rFonts w:ascii="Arial" w:hAnsi="Arial" w:cs="Arial"/>
          <w:color w:val="222222"/>
          <w:sz w:val="20"/>
          <w:szCs w:val="26"/>
        </w:rPr>
      </w:pPr>
      <w:r w:rsidRPr="00744E7A">
        <w:rPr>
          <w:rFonts w:ascii="Arial" w:hAnsi="Arial" w:cs="Arial"/>
          <w:color w:val="222222"/>
          <w:sz w:val="20"/>
          <w:szCs w:val="26"/>
        </w:rPr>
        <w:t>1° A escrituração do estorno de débito do imposto, na hipótese de que trata o </w:t>
      </w:r>
      <w:r w:rsidRPr="00744E7A">
        <w:rPr>
          <w:rFonts w:ascii="Arial" w:hAnsi="Arial" w:cs="Arial"/>
          <w:i/>
          <w:iCs/>
          <w:sz w:val="20"/>
        </w:rPr>
        <w:t>caput </w:t>
      </w:r>
      <w:r w:rsidRPr="00744E7A">
        <w:rPr>
          <w:rFonts w:ascii="Arial" w:hAnsi="Arial" w:cs="Arial"/>
          <w:color w:val="222222"/>
          <w:sz w:val="20"/>
          <w:szCs w:val="26"/>
        </w:rPr>
        <w:t>deste artigo, será realizada à vista</w:t>
      </w:r>
      <w:r w:rsidRPr="00744E7A">
        <w:rPr>
          <w:rFonts w:ascii="Arial" w:hAnsi="Arial" w:cs="Arial"/>
          <w:b/>
          <w:bCs/>
          <w:sz w:val="20"/>
        </w:rPr>
        <w:t> </w:t>
      </w:r>
      <w:r w:rsidRPr="00744E7A">
        <w:rPr>
          <w:rFonts w:ascii="Arial" w:hAnsi="Arial" w:cs="Arial"/>
          <w:color w:val="222222"/>
          <w:sz w:val="20"/>
          <w:szCs w:val="26"/>
        </w:rPr>
        <w:t>de demonstrativo de valor do débito do imposto, anulado ou creditado ou estornado, que consolide os relatórios internos, o qual deverá permanecer à disposição do fisco pelo mesmo prazo previsto para a guarda dos documentos fiscais e conterá, no mínimo, as informações referentes:</w:t>
      </w:r>
    </w:p>
    <w:p w14:paraId="4F02EF60" w14:textId="77777777" w:rsidR="00744E7A" w:rsidRPr="00744E7A" w:rsidRDefault="00744E7A" w:rsidP="00744E7A">
      <w:pPr>
        <w:ind w:left="1701"/>
        <w:jc w:val="both"/>
        <w:rPr>
          <w:rFonts w:ascii="Arial" w:hAnsi="Arial" w:cs="Arial"/>
          <w:color w:val="222222"/>
          <w:sz w:val="20"/>
          <w:szCs w:val="26"/>
        </w:rPr>
      </w:pPr>
      <w:r w:rsidRPr="00744E7A">
        <w:rPr>
          <w:rFonts w:ascii="Arial" w:hAnsi="Arial" w:cs="Arial"/>
          <w:color w:val="222222"/>
          <w:sz w:val="20"/>
          <w:szCs w:val="26"/>
        </w:rPr>
        <w:t>I –</w:t>
      </w:r>
      <w:r w:rsidRPr="00744E7A">
        <w:rPr>
          <w:rFonts w:ascii="Arial" w:hAnsi="Arial" w:cs="Arial"/>
          <w:b/>
          <w:bCs/>
          <w:sz w:val="20"/>
        </w:rPr>
        <w:t> </w:t>
      </w:r>
      <w:r w:rsidRPr="00744E7A">
        <w:rPr>
          <w:rFonts w:ascii="Arial" w:hAnsi="Arial" w:cs="Arial"/>
          <w:color w:val="222222"/>
          <w:sz w:val="20"/>
          <w:szCs w:val="26"/>
        </w:rPr>
        <w:t>ao número, à data de emissão, ao valor total, à base de cálculo e ao valor do ICMS constantes da Nota Fiscal de Serviço de Telecomunicações (NFST) ou da Nota Fiscal de Serviço de Comunicação (NFSC), objeto do estorno; </w:t>
      </w:r>
      <w:r w:rsidRPr="00744E7A">
        <w:rPr>
          <w:rFonts w:ascii="Arial" w:hAnsi="Arial" w:cs="Arial"/>
          <w:i/>
          <w:iCs/>
          <w:sz w:val="20"/>
        </w:rPr>
        <w:t xml:space="preserve">(cf. </w:t>
      </w:r>
      <w:r w:rsidRPr="00744E7A">
        <w:rPr>
          <w:rFonts w:ascii="Arial" w:hAnsi="Arial" w:cs="Arial"/>
          <w:i/>
          <w:iCs/>
          <w:sz w:val="20"/>
        </w:rPr>
        <w:lastRenderedPageBreak/>
        <w:t>incisos II e III do § 4° da cláusula terceira do </w:t>
      </w:r>
      <w:hyperlink r:id="rId5" w:history="1">
        <w:r w:rsidRPr="00744E7A">
          <w:rPr>
            <w:rFonts w:ascii="Arial" w:hAnsi="Arial" w:cs="Arial"/>
            <w:color w:val="222222"/>
            <w:sz w:val="20"/>
          </w:rPr>
          <w:t>Convênio ICMS 126/98</w:t>
        </w:r>
      </w:hyperlink>
      <w:r w:rsidRPr="00744E7A">
        <w:rPr>
          <w:rFonts w:ascii="Arial" w:hAnsi="Arial" w:cs="Arial"/>
          <w:i/>
          <w:iCs/>
          <w:sz w:val="20"/>
        </w:rPr>
        <w:t>, redação dada pelo Convênio ICMS 86/2010)</w:t>
      </w:r>
    </w:p>
    <w:p w14:paraId="3EA60FCA" w14:textId="77777777" w:rsidR="00744E7A" w:rsidRPr="00744E7A" w:rsidRDefault="00744E7A" w:rsidP="00744E7A">
      <w:pPr>
        <w:ind w:left="1701"/>
        <w:jc w:val="both"/>
        <w:rPr>
          <w:rFonts w:ascii="Arial" w:hAnsi="Arial" w:cs="Arial"/>
          <w:color w:val="222222"/>
          <w:sz w:val="20"/>
          <w:szCs w:val="26"/>
        </w:rPr>
      </w:pPr>
      <w:r w:rsidRPr="00744E7A">
        <w:rPr>
          <w:rFonts w:ascii="Arial" w:hAnsi="Arial" w:cs="Arial"/>
          <w:color w:val="222222"/>
          <w:sz w:val="20"/>
          <w:szCs w:val="26"/>
        </w:rPr>
        <w:t>II –</w:t>
      </w:r>
      <w:r w:rsidRPr="00744E7A">
        <w:rPr>
          <w:rFonts w:ascii="Arial" w:hAnsi="Arial" w:cs="Arial"/>
          <w:b/>
          <w:bCs/>
          <w:sz w:val="20"/>
        </w:rPr>
        <w:t> </w:t>
      </w:r>
      <w:r w:rsidRPr="00744E7A">
        <w:rPr>
          <w:rFonts w:ascii="Arial" w:hAnsi="Arial" w:cs="Arial"/>
          <w:color w:val="222222"/>
          <w:sz w:val="20"/>
          <w:szCs w:val="26"/>
        </w:rPr>
        <w:t>ao valor da prestação de serviço e do ICMS correspondente ao estorno; </w:t>
      </w:r>
      <w:r w:rsidRPr="00744E7A">
        <w:rPr>
          <w:rFonts w:ascii="Arial" w:hAnsi="Arial" w:cs="Arial"/>
          <w:i/>
          <w:iCs/>
          <w:sz w:val="20"/>
        </w:rPr>
        <w:t>(cf. incisos III e IV do § 4° da cláusula terceira do Convênio ICMS 126/98, redação dada pelo Convênio ICMS 86/2010)</w:t>
      </w:r>
    </w:p>
    <w:p w14:paraId="03B89107" w14:textId="77777777" w:rsidR="00744E7A" w:rsidRPr="00744E7A" w:rsidRDefault="00744E7A" w:rsidP="00744E7A">
      <w:pPr>
        <w:ind w:left="1701"/>
        <w:jc w:val="both"/>
        <w:rPr>
          <w:rFonts w:ascii="Arial" w:hAnsi="Arial" w:cs="Arial"/>
          <w:color w:val="222222"/>
          <w:sz w:val="20"/>
          <w:szCs w:val="26"/>
        </w:rPr>
      </w:pPr>
      <w:r w:rsidRPr="00744E7A">
        <w:rPr>
          <w:rFonts w:ascii="Arial" w:hAnsi="Arial" w:cs="Arial"/>
          <w:color w:val="222222"/>
          <w:sz w:val="20"/>
          <w:szCs w:val="26"/>
        </w:rPr>
        <w:t>III –</w:t>
      </w:r>
      <w:r w:rsidRPr="00744E7A">
        <w:rPr>
          <w:rFonts w:ascii="Arial" w:hAnsi="Arial" w:cs="Arial"/>
          <w:b/>
          <w:bCs/>
          <w:sz w:val="20"/>
        </w:rPr>
        <w:t> </w:t>
      </w:r>
      <w:r w:rsidRPr="00744E7A">
        <w:rPr>
          <w:rFonts w:ascii="Arial" w:hAnsi="Arial" w:cs="Arial"/>
          <w:color w:val="222222"/>
          <w:sz w:val="20"/>
          <w:szCs w:val="26"/>
        </w:rPr>
        <w:t>aos motivos determinantes do estorno, com indicação dos elementos comprobatórios que o justificam; </w:t>
      </w:r>
      <w:r w:rsidRPr="00744E7A">
        <w:rPr>
          <w:rFonts w:ascii="Arial" w:hAnsi="Arial" w:cs="Arial"/>
          <w:i/>
          <w:iCs/>
          <w:sz w:val="20"/>
        </w:rPr>
        <w:t>(cf. inciso V do § 4° da cláusula terceira do Convênio ICMS 126/98, redação dada pelo Convênio ICMS 86/2010)</w:t>
      </w:r>
    </w:p>
    <w:p w14:paraId="5AA06872" w14:textId="77777777" w:rsidR="00744E7A" w:rsidRPr="00744E7A" w:rsidRDefault="00744E7A" w:rsidP="00744E7A">
      <w:pPr>
        <w:ind w:left="1701"/>
        <w:jc w:val="both"/>
        <w:rPr>
          <w:rFonts w:ascii="Arial" w:hAnsi="Arial" w:cs="Arial"/>
          <w:color w:val="222222"/>
          <w:sz w:val="20"/>
          <w:szCs w:val="26"/>
        </w:rPr>
      </w:pPr>
      <w:r w:rsidRPr="00744E7A">
        <w:rPr>
          <w:rFonts w:ascii="Arial" w:hAnsi="Arial" w:cs="Arial"/>
          <w:color w:val="222222"/>
          <w:sz w:val="20"/>
          <w:szCs w:val="26"/>
        </w:rPr>
        <w:t xml:space="preserve">IV – a identificação do número do telefone para o qual foi </w:t>
      </w:r>
      <w:proofErr w:type="spellStart"/>
      <w:r w:rsidRPr="00744E7A">
        <w:rPr>
          <w:rFonts w:ascii="Arial" w:hAnsi="Arial" w:cs="Arial"/>
          <w:color w:val="222222"/>
          <w:sz w:val="20"/>
          <w:szCs w:val="26"/>
        </w:rPr>
        <w:t>refaturado</w:t>
      </w:r>
      <w:proofErr w:type="spellEnd"/>
      <w:r w:rsidRPr="00744E7A">
        <w:rPr>
          <w:rFonts w:ascii="Arial" w:hAnsi="Arial" w:cs="Arial"/>
          <w:color w:val="222222"/>
          <w:sz w:val="20"/>
          <w:szCs w:val="26"/>
        </w:rPr>
        <w:t xml:space="preserve"> o serviço, quando for o caso.</w:t>
      </w:r>
    </w:p>
    <w:p w14:paraId="56D3D260" w14:textId="77777777" w:rsidR="00744E7A" w:rsidRPr="00744E7A" w:rsidRDefault="00744E7A" w:rsidP="00744E7A">
      <w:pPr>
        <w:ind w:left="1701"/>
        <w:jc w:val="both"/>
        <w:rPr>
          <w:rFonts w:ascii="Arial" w:hAnsi="Arial" w:cs="Arial"/>
          <w:color w:val="222222"/>
          <w:sz w:val="20"/>
          <w:szCs w:val="26"/>
        </w:rPr>
      </w:pPr>
      <w:r w:rsidRPr="00744E7A">
        <w:rPr>
          <w:rFonts w:ascii="Arial" w:hAnsi="Arial" w:cs="Arial"/>
          <w:color w:val="222222"/>
          <w:sz w:val="20"/>
          <w:szCs w:val="26"/>
        </w:rPr>
        <w:t>§ 2° Com base no relatório interno aludido no § 1° deste artigo, deverá ser emitida Nota Fiscal de Serviço de Telecomunicações (NFST) ou Nota Fiscal de Serviço de Comunicação (NFSC) para documentar o registro do estorno do débito, cujos valores serão iguais aos constantes no referido relatório. </w:t>
      </w:r>
      <w:r w:rsidRPr="00744E7A">
        <w:rPr>
          <w:rFonts w:ascii="Arial" w:hAnsi="Arial" w:cs="Arial"/>
          <w:i/>
          <w:iCs/>
          <w:sz w:val="20"/>
        </w:rPr>
        <w:t>(v. § 5° da cláusula terceira do </w:t>
      </w:r>
      <w:hyperlink r:id="rId6" w:history="1">
        <w:r w:rsidRPr="00744E7A">
          <w:rPr>
            <w:rFonts w:ascii="Arial" w:hAnsi="Arial" w:cs="Arial"/>
            <w:color w:val="222222"/>
            <w:sz w:val="20"/>
          </w:rPr>
          <w:t>Convênio ICMS 126/98</w:t>
        </w:r>
      </w:hyperlink>
      <w:r w:rsidRPr="00744E7A">
        <w:rPr>
          <w:rFonts w:ascii="Arial" w:hAnsi="Arial" w:cs="Arial"/>
          <w:i/>
          <w:iCs/>
          <w:sz w:val="20"/>
        </w:rPr>
        <w:t>, redação dada pelo Convênio ICMS 86/2010)</w:t>
      </w:r>
    </w:p>
    <w:p w14:paraId="173A9B79" w14:textId="77777777" w:rsidR="00744E7A" w:rsidRPr="00744E7A" w:rsidRDefault="00744E7A" w:rsidP="00744E7A">
      <w:pPr>
        <w:ind w:left="1701"/>
        <w:jc w:val="both"/>
        <w:rPr>
          <w:rFonts w:ascii="Arial" w:hAnsi="Arial" w:cs="Arial"/>
          <w:color w:val="222222"/>
          <w:sz w:val="20"/>
          <w:szCs w:val="26"/>
        </w:rPr>
      </w:pPr>
      <w:r w:rsidRPr="00744E7A">
        <w:rPr>
          <w:rFonts w:ascii="Arial" w:hAnsi="Arial" w:cs="Arial"/>
          <w:color w:val="222222"/>
          <w:sz w:val="20"/>
          <w:szCs w:val="26"/>
        </w:rPr>
        <w:t>§ 3°</w:t>
      </w:r>
      <w:r w:rsidRPr="00744E7A">
        <w:rPr>
          <w:rFonts w:ascii="Arial" w:hAnsi="Arial" w:cs="Arial"/>
          <w:b/>
          <w:bCs/>
          <w:sz w:val="20"/>
        </w:rPr>
        <w:t> </w:t>
      </w:r>
      <w:r w:rsidRPr="00744E7A">
        <w:rPr>
          <w:rFonts w:ascii="Arial" w:hAnsi="Arial" w:cs="Arial"/>
          <w:color w:val="222222"/>
          <w:sz w:val="20"/>
          <w:szCs w:val="26"/>
        </w:rPr>
        <w:t xml:space="preserve">Nas reclamações efetuadas por usuários finais, da qual resultar emissão de outro documento fiscal ou documento fiscal complementar, previsto no § 2° deste artigo, </w:t>
      </w:r>
      <w:r w:rsidRPr="00744E7A">
        <w:rPr>
          <w:rFonts w:ascii="Arial" w:hAnsi="Arial" w:cs="Arial"/>
          <w:color w:val="222222"/>
          <w:sz w:val="20"/>
          <w:szCs w:val="26"/>
          <w:u w:val="single"/>
        </w:rPr>
        <w:t>este conterá a indicação do documento fiscal anterior</w:t>
      </w:r>
      <w:r w:rsidRPr="00744E7A">
        <w:rPr>
          <w:rFonts w:ascii="Arial" w:hAnsi="Arial" w:cs="Arial"/>
          <w:color w:val="222222"/>
          <w:sz w:val="20"/>
          <w:szCs w:val="26"/>
        </w:rPr>
        <w:t>, devendo ser lavrado termo das razões da queixa, devidamente firmado pelo usuário final ou funcionário que o atendeu.</w:t>
      </w:r>
    </w:p>
    <w:p w14:paraId="3E6B2854" w14:textId="77777777" w:rsidR="00744E7A" w:rsidRPr="00744E7A" w:rsidRDefault="00744E7A" w:rsidP="00744E7A">
      <w:pPr>
        <w:ind w:left="1701"/>
        <w:jc w:val="both"/>
        <w:rPr>
          <w:rFonts w:ascii="Arial" w:hAnsi="Arial" w:cs="Arial"/>
          <w:color w:val="222222"/>
          <w:sz w:val="20"/>
          <w:szCs w:val="26"/>
        </w:rPr>
      </w:pPr>
      <w:r w:rsidRPr="00744E7A">
        <w:rPr>
          <w:rFonts w:ascii="Arial" w:hAnsi="Arial" w:cs="Arial"/>
          <w:color w:val="222222"/>
          <w:sz w:val="20"/>
          <w:szCs w:val="26"/>
        </w:rPr>
        <w:t xml:space="preserve">§ 4° O </w:t>
      </w:r>
      <w:r w:rsidRPr="00744E7A">
        <w:rPr>
          <w:rFonts w:ascii="Arial" w:hAnsi="Arial" w:cs="Arial"/>
          <w:color w:val="222222"/>
          <w:sz w:val="20"/>
          <w:szCs w:val="26"/>
          <w:u w:val="single"/>
        </w:rPr>
        <w:t>novo documento fiscal</w:t>
      </w:r>
      <w:r w:rsidRPr="00744E7A">
        <w:rPr>
          <w:rFonts w:ascii="Arial" w:hAnsi="Arial" w:cs="Arial"/>
          <w:color w:val="222222"/>
          <w:sz w:val="20"/>
          <w:szCs w:val="26"/>
        </w:rPr>
        <w:t xml:space="preserve"> ou complemento emitido em face das reclamações efetuadas por usuário final será destacado, com débito do imposto, nele </w:t>
      </w:r>
      <w:r w:rsidRPr="00744E7A">
        <w:rPr>
          <w:rFonts w:ascii="Arial" w:hAnsi="Arial" w:cs="Arial"/>
          <w:color w:val="222222"/>
          <w:sz w:val="20"/>
          <w:szCs w:val="26"/>
          <w:u w:val="single"/>
        </w:rPr>
        <w:t>devendo ser indicado o número da Nota Fiscal retida para fins de refaturamento</w:t>
      </w:r>
      <w:r w:rsidRPr="00744E7A">
        <w:rPr>
          <w:rFonts w:ascii="Arial" w:hAnsi="Arial" w:cs="Arial"/>
          <w:color w:val="222222"/>
          <w:sz w:val="20"/>
          <w:szCs w:val="26"/>
        </w:rPr>
        <w:t>, a qual será mantida em arquivo para exibição ao fisco.</w:t>
      </w:r>
    </w:p>
    <w:p w14:paraId="2FF70146" w14:textId="77777777" w:rsidR="00744E7A" w:rsidRPr="00744E7A" w:rsidRDefault="00744E7A" w:rsidP="00744E7A">
      <w:pPr>
        <w:ind w:left="1701"/>
        <w:jc w:val="both"/>
        <w:rPr>
          <w:rFonts w:ascii="Arial" w:hAnsi="Arial" w:cs="Arial"/>
          <w:color w:val="222222"/>
          <w:sz w:val="20"/>
          <w:szCs w:val="26"/>
        </w:rPr>
      </w:pPr>
      <w:r w:rsidRPr="00744E7A">
        <w:rPr>
          <w:rFonts w:ascii="Arial" w:hAnsi="Arial" w:cs="Arial"/>
          <w:color w:val="222222"/>
          <w:sz w:val="20"/>
          <w:szCs w:val="26"/>
        </w:rPr>
        <w:t>§ 5° Quando emitido em única via, na forma do artigo 740, o novo documento fiscal ou complemento destacado na forma do § 4° deste artigo, poderá ser fotocopiado para atendimento do disposto no § 3°, também deste preceito.</w:t>
      </w:r>
    </w:p>
    <w:p w14:paraId="31F89D58" w14:textId="77777777" w:rsidR="00744E7A" w:rsidRPr="00744E7A" w:rsidRDefault="00744E7A" w:rsidP="00744E7A">
      <w:pPr>
        <w:ind w:left="1701"/>
        <w:jc w:val="both"/>
        <w:rPr>
          <w:rFonts w:ascii="Arial" w:hAnsi="Arial" w:cs="Arial"/>
          <w:color w:val="222222"/>
          <w:sz w:val="20"/>
          <w:szCs w:val="26"/>
        </w:rPr>
      </w:pPr>
      <w:r w:rsidRPr="00744E7A">
        <w:rPr>
          <w:rFonts w:ascii="Arial" w:hAnsi="Arial" w:cs="Arial"/>
          <w:color w:val="222222"/>
          <w:sz w:val="20"/>
          <w:szCs w:val="26"/>
        </w:rPr>
        <w:t>§ 6°</w:t>
      </w:r>
      <w:r w:rsidRPr="00744E7A">
        <w:rPr>
          <w:rFonts w:ascii="Arial" w:hAnsi="Arial" w:cs="Arial"/>
          <w:b/>
          <w:bCs/>
          <w:sz w:val="20"/>
        </w:rPr>
        <w:t> </w:t>
      </w:r>
      <w:r w:rsidRPr="00744E7A">
        <w:rPr>
          <w:rFonts w:ascii="Arial" w:hAnsi="Arial" w:cs="Arial"/>
          <w:color w:val="222222"/>
          <w:sz w:val="20"/>
          <w:szCs w:val="26"/>
        </w:rPr>
        <w:t xml:space="preserve">A Nota Fiscal de que trata o § 2° deste artigo será </w:t>
      </w:r>
      <w:r w:rsidRPr="00744E7A">
        <w:rPr>
          <w:rFonts w:ascii="Arial" w:hAnsi="Arial" w:cs="Arial"/>
          <w:color w:val="222222"/>
          <w:sz w:val="20"/>
          <w:szCs w:val="26"/>
          <w:u w:val="single"/>
        </w:rPr>
        <w:t>escriturada no livro Registro de Entradas, com direito a crédito do imposto</w:t>
      </w:r>
      <w:r w:rsidRPr="00744E7A">
        <w:rPr>
          <w:rFonts w:ascii="Arial" w:hAnsi="Arial" w:cs="Arial"/>
          <w:color w:val="222222"/>
          <w:sz w:val="20"/>
          <w:szCs w:val="26"/>
        </w:rPr>
        <w:t>, se for o caso, no mesmo período de apuração em que se lançar o débito pertinente ao documento fiscal a que se refere o § 4°, também deste artigo.</w:t>
      </w:r>
    </w:p>
    <w:p w14:paraId="29B8F450" w14:textId="77777777" w:rsidR="00744E7A" w:rsidRPr="00744E7A" w:rsidRDefault="00744E7A" w:rsidP="00744E7A">
      <w:pPr>
        <w:ind w:left="1701"/>
        <w:jc w:val="both"/>
        <w:rPr>
          <w:rFonts w:ascii="Arial" w:hAnsi="Arial" w:cs="Arial"/>
          <w:color w:val="222222"/>
          <w:sz w:val="20"/>
          <w:szCs w:val="26"/>
        </w:rPr>
      </w:pPr>
      <w:r w:rsidRPr="00744E7A">
        <w:rPr>
          <w:rFonts w:ascii="Arial" w:hAnsi="Arial" w:cs="Arial"/>
          <w:color w:val="222222"/>
          <w:sz w:val="20"/>
          <w:szCs w:val="26"/>
        </w:rPr>
        <w:t>§ 7° Em substituição ao disposto no § 1° deste artigo, a operadora mato-grossense poderá optar pela utilização de crédito fiscal no valor correspondente ao percentual de 0,75% (setenta e cinco centésimos por cento) do total dos débitos de ICMS relacionados à prestação de serviços de telecomunicação para usuários finais, cujo documento fiscal seja emitido nos termos dos artigos 314 e 321 deste regulamento. </w:t>
      </w:r>
      <w:r w:rsidRPr="00744E7A">
        <w:rPr>
          <w:rFonts w:ascii="Arial" w:hAnsi="Arial" w:cs="Arial"/>
          <w:i/>
          <w:iCs/>
          <w:sz w:val="20"/>
        </w:rPr>
        <w:t>(v. cláusula primeira do Convênio ICMS 56/2012, prorrogado até 30/04/2024 - Convênio ICMS 178/2021 - efeitos a partir de 26 de outubro de 2021)</w:t>
      </w:r>
    </w:p>
    <w:p w14:paraId="37817582" w14:textId="77777777" w:rsidR="00744E7A" w:rsidRPr="00744E7A" w:rsidRDefault="00744E7A" w:rsidP="00744E7A">
      <w:pPr>
        <w:ind w:left="1701"/>
        <w:jc w:val="both"/>
        <w:rPr>
          <w:rFonts w:ascii="Arial" w:hAnsi="Arial" w:cs="Arial"/>
          <w:color w:val="222222"/>
          <w:sz w:val="20"/>
          <w:szCs w:val="26"/>
        </w:rPr>
      </w:pPr>
      <w:r w:rsidRPr="00744E7A">
        <w:rPr>
          <w:rFonts w:ascii="Arial" w:hAnsi="Arial" w:cs="Arial"/>
          <w:color w:val="222222"/>
          <w:sz w:val="20"/>
          <w:szCs w:val="26"/>
        </w:rPr>
        <w:t>§ 8° A utilização do percentual autorizado no § 7º deste artigo dispensa a elaboração do demonstrativo de que trata o § 1º, também deste artigo.</w:t>
      </w:r>
    </w:p>
    <w:p w14:paraId="7C85CAE6" w14:textId="77777777" w:rsidR="00744E7A" w:rsidRPr="00744E7A" w:rsidRDefault="00744E7A" w:rsidP="00744E7A">
      <w:pPr>
        <w:ind w:left="1701"/>
        <w:jc w:val="both"/>
        <w:rPr>
          <w:rFonts w:ascii="Arial" w:hAnsi="Arial" w:cs="Arial"/>
          <w:color w:val="222222"/>
          <w:sz w:val="20"/>
          <w:szCs w:val="26"/>
        </w:rPr>
      </w:pPr>
      <w:r w:rsidRPr="00744E7A">
        <w:rPr>
          <w:rFonts w:ascii="Arial" w:hAnsi="Arial" w:cs="Arial"/>
          <w:color w:val="222222"/>
          <w:sz w:val="20"/>
          <w:szCs w:val="26"/>
        </w:rPr>
        <w:t>§ 9° Para formalização da opção de que trata o § 7º deste artigo, a operadora mato-grossense deverá lavrar termo no livro de Registro de Utilização de Documentos Fiscais e Termos de Ocorrência e não poderá modificá-lo no mesmo ano civil.​​</w:t>
      </w:r>
    </w:p>
    <w:p w14:paraId="33C5CF1E" w14:textId="77777777" w:rsidR="00744E7A" w:rsidRDefault="00744E7A" w:rsidP="00E85F67">
      <w:pPr>
        <w:ind w:left="1701"/>
        <w:jc w:val="both"/>
        <w:rPr>
          <w:rStyle w:val="nfase"/>
          <w:rFonts w:ascii="Arial" w:hAnsi="Arial" w:cs="Arial"/>
          <w:color w:val="222222"/>
          <w:sz w:val="20"/>
          <w:szCs w:val="26"/>
        </w:rPr>
      </w:pPr>
    </w:p>
    <w:p w14:paraId="46A78B96" w14:textId="77777777" w:rsidR="00F54E45" w:rsidRPr="00744E7A" w:rsidRDefault="0074138B" w:rsidP="00F54E45">
      <w:pPr>
        <w:jc w:val="both"/>
        <w:rPr>
          <w:bCs/>
        </w:rPr>
      </w:pPr>
      <w:r w:rsidRPr="00744E7A">
        <w:rPr>
          <w:bCs/>
        </w:rPr>
        <w:lastRenderedPageBreak/>
        <w:t xml:space="preserve">E ainda, </w:t>
      </w:r>
      <w:r w:rsidR="002B4FDD" w:rsidRPr="00744E7A">
        <w:rPr>
          <w:bCs/>
        </w:rPr>
        <w:t>obedecer ao</w:t>
      </w:r>
      <w:r w:rsidRPr="00744E7A">
        <w:rPr>
          <w:bCs/>
        </w:rPr>
        <w:t xml:space="preserve"> previsto no artigo 736, inciso IV, in </w:t>
      </w:r>
      <w:proofErr w:type="spellStart"/>
      <w:r w:rsidRPr="00744E7A">
        <w:rPr>
          <w:bCs/>
        </w:rPr>
        <w:t>verbis</w:t>
      </w:r>
      <w:proofErr w:type="spellEnd"/>
      <w:r w:rsidRPr="00744E7A">
        <w:rPr>
          <w:bCs/>
        </w:rPr>
        <w:t>:</w:t>
      </w:r>
    </w:p>
    <w:p w14:paraId="24A2E398" w14:textId="77777777" w:rsidR="0074138B" w:rsidRDefault="0074138B" w:rsidP="0074138B">
      <w:pPr>
        <w:ind w:left="1701"/>
        <w:jc w:val="both"/>
        <w:rPr>
          <w:rFonts w:ascii="Arial" w:hAnsi="Arial" w:cs="Arial"/>
          <w:color w:val="222222"/>
          <w:sz w:val="20"/>
          <w:szCs w:val="26"/>
        </w:rPr>
      </w:pPr>
      <w:r w:rsidRPr="0074138B">
        <w:rPr>
          <w:rFonts w:ascii="Arial" w:hAnsi="Arial" w:cs="Arial"/>
          <w:b/>
          <w:bCs/>
          <w:sz w:val="20"/>
        </w:rPr>
        <w:t>Art. 736 </w:t>
      </w:r>
      <w:r w:rsidRPr="0074138B">
        <w:rPr>
          <w:rFonts w:ascii="Arial" w:hAnsi="Arial" w:cs="Arial"/>
          <w:color w:val="222222"/>
          <w:sz w:val="20"/>
          <w:szCs w:val="26"/>
        </w:rPr>
        <w:t>O prestador de serviços públicos de telecomunicações deverá, em cada período de apuração, anexar ao livro Registro de Apuração do ICMS:</w:t>
      </w:r>
    </w:p>
    <w:p w14:paraId="1801F97D" w14:textId="77777777" w:rsidR="0074138B" w:rsidRDefault="0074138B" w:rsidP="0074138B">
      <w:pPr>
        <w:ind w:left="1701"/>
        <w:jc w:val="both"/>
        <w:rPr>
          <w:rFonts w:ascii="Arial" w:hAnsi="Arial" w:cs="Arial"/>
          <w:bCs/>
          <w:sz w:val="20"/>
        </w:rPr>
      </w:pPr>
      <w:r w:rsidRPr="0074138B">
        <w:rPr>
          <w:rFonts w:ascii="Arial" w:hAnsi="Arial" w:cs="Arial"/>
          <w:bCs/>
          <w:sz w:val="20"/>
        </w:rPr>
        <w:t>(...)</w:t>
      </w:r>
    </w:p>
    <w:p w14:paraId="1ECCFDE3" w14:textId="77777777" w:rsidR="0074138B" w:rsidRPr="0074138B" w:rsidRDefault="0074138B" w:rsidP="0074138B">
      <w:pPr>
        <w:ind w:left="1701"/>
        <w:jc w:val="both"/>
        <w:rPr>
          <w:rFonts w:ascii="Arial" w:hAnsi="Arial" w:cs="Arial"/>
          <w:color w:val="222222"/>
          <w:sz w:val="20"/>
          <w:szCs w:val="26"/>
        </w:rPr>
      </w:pPr>
      <w:r w:rsidRPr="0074138B">
        <w:rPr>
          <w:rFonts w:ascii="Arial" w:hAnsi="Arial" w:cs="Arial"/>
          <w:color w:val="222222"/>
          <w:sz w:val="20"/>
          <w:szCs w:val="26"/>
        </w:rPr>
        <w:t xml:space="preserve">IV – demonstrativo de valor do débito do imposto, anulado ou creditado ou estornado, de que trata o </w:t>
      </w:r>
      <w:r w:rsidRPr="00744E7A">
        <w:rPr>
          <w:rFonts w:ascii="Arial" w:hAnsi="Arial" w:cs="Arial"/>
          <w:b/>
          <w:color w:val="222222"/>
          <w:sz w:val="20"/>
          <w:szCs w:val="26"/>
        </w:rPr>
        <w:t>artigo 739</w:t>
      </w:r>
      <w:r w:rsidRPr="0074138B">
        <w:rPr>
          <w:rFonts w:ascii="Arial" w:hAnsi="Arial" w:cs="Arial"/>
          <w:color w:val="222222"/>
          <w:sz w:val="20"/>
          <w:szCs w:val="26"/>
        </w:rPr>
        <w:t>;</w:t>
      </w:r>
    </w:p>
    <w:p w14:paraId="3934C043" w14:textId="77777777" w:rsidR="0074138B" w:rsidRPr="002B4FDD" w:rsidRDefault="002B4FDD" w:rsidP="00F54E45">
      <w:pPr>
        <w:jc w:val="both"/>
        <w:rPr>
          <w:rStyle w:val="Forte"/>
          <w:rFonts w:ascii="Arial" w:hAnsi="Arial" w:cs="Arial"/>
          <w:b w:val="0"/>
          <w:color w:val="222222"/>
          <w:sz w:val="20"/>
          <w:szCs w:val="26"/>
        </w:rPr>
      </w:pPr>
      <w:r w:rsidRPr="002B4FDD">
        <w:rPr>
          <w:rStyle w:val="Forte"/>
          <w:rFonts w:ascii="Arial" w:hAnsi="Arial" w:cs="Arial"/>
          <w:b w:val="0"/>
          <w:color w:val="222222"/>
          <w:sz w:val="20"/>
          <w:szCs w:val="26"/>
        </w:rPr>
        <w:t xml:space="preserve">Ou seja, </w:t>
      </w:r>
      <w:r>
        <w:rPr>
          <w:rStyle w:val="Forte"/>
          <w:rFonts w:ascii="Arial" w:hAnsi="Arial" w:cs="Arial"/>
          <w:b w:val="0"/>
          <w:color w:val="222222"/>
          <w:sz w:val="20"/>
          <w:szCs w:val="26"/>
        </w:rPr>
        <w:t xml:space="preserve">o contribuinte tem que fazer um pedido de </w:t>
      </w:r>
      <w:r w:rsidRPr="002B4FDD">
        <w:rPr>
          <w:rStyle w:val="Forte"/>
          <w:rFonts w:ascii="Arial" w:hAnsi="Arial" w:cs="Arial"/>
          <w:color w:val="222222"/>
          <w:sz w:val="20"/>
          <w:szCs w:val="26"/>
          <w:u w:val="single"/>
        </w:rPr>
        <w:t>restituição de indébito</w:t>
      </w:r>
      <w:r>
        <w:rPr>
          <w:rStyle w:val="Forte"/>
          <w:rFonts w:ascii="Arial" w:hAnsi="Arial" w:cs="Arial"/>
          <w:b w:val="0"/>
          <w:color w:val="222222"/>
          <w:sz w:val="20"/>
          <w:szCs w:val="26"/>
        </w:rPr>
        <w:t>.</w:t>
      </w:r>
    </w:p>
    <w:p w14:paraId="37C0992A" w14:textId="77777777" w:rsidR="0074138B" w:rsidRDefault="0074138B" w:rsidP="00F54E45">
      <w:pPr>
        <w:jc w:val="both"/>
        <w:rPr>
          <w:rStyle w:val="Forte"/>
          <w:rFonts w:ascii="Arial" w:hAnsi="Arial" w:cs="Arial"/>
          <w:color w:val="222222"/>
          <w:sz w:val="20"/>
          <w:szCs w:val="26"/>
        </w:rPr>
      </w:pPr>
    </w:p>
    <w:p w14:paraId="72C0BD64" w14:textId="77777777" w:rsidR="00650DA7" w:rsidRDefault="00650DA7" w:rsidP="00F54E45">
      <w:pPr>
        <w:jc w:val="both"/>
        <w:rPr>
          <w:rStyle w:val="Forte"/>
          <w:rFonts w:ascii="Arial" w:hAnsi="Arial" w:cs="Arial"/>
          <w:color w:val="222222"/>
          <w:sz w:val="20"/>
          <w:szCs w:val="26"/>
        </w:rPr>
      </w:pPr>
      <w:r>
        <w:rPr>
          <w:rStyle w:val="Forte"/>
          <w:rFonts w:ascii="Arial" w:hAnsi="Arial" w:cs="Arial"/>
          <w:color w:val="222222"/>
          <w:sz w:val="20"/>
          <w:szCs w:val="26"/>
        </w:rPr>
        <w:t>PARA EMPRESAS DO SIMPLES NACIONAL – BENEFÍCIO FISCAL</w:t>
      </w:r>
    </w:p>
    <w:p w14:paraId="672E9D10" w14:textId="77777777" w:rsidR="00650DA7" w:rsidRDefault="00650DA7" w:rsidP="00F54E45">
      <w:pPr>
        <w:jc w:val="both"/>
        <w:rPr>
          <w:rStyle w:val="Forte"/>
          <w:rFonts w:ascii="Arial" w:hAnsi="Arial" w:cs="Arial"/>
          <w:color w:val="222222"/>
          <w:sz w:val="20"/>
          <w:szCs w:val="26"/>
        </w:rPr>
      </w:pPr>
    </w:p>
    <w:p w14:paraId="024C52D9" w14:textId="4624C9F0" w:rsidR="00C0678F" w:rsidRDefault="00C0678F" w:rsidP="00F54E45">
      <w:pPr>
        <w:jc w:val="both"/>
        <w:rPr>
          <w:rStyle w:val="Forte"/>
          <w:rFonts w:ascii="Arial" w:hAnsi="Arial" w:cs="Arial"/>
          <w:b w:val="0"/>
          <w:color w:val="222222"/>
          <w:sz w:val="20"/>
          <w:szCs w:val="26"/>
        </w:rPr>
      </w:pPr>
      <w:r>
        <w:rPr>
          <w:rStyle w:val="Forte"/>
          <w:rFonts w:ascii="Arial" w:hAnsi="Arial" w:cs="Arial"/>
          <w:b w:val="0"/>
          <w:color w:val="222222"/>
          <w:sz w:val="20"/>
          <w:szCs w:val="26"/>
        </w:rPr>
        <w:t>Na legislação não há previsão de cancelamento de nota fiscal modelo 21 ou 22 emitida em períodos anteriores</w:t>
      </w:r>
      <w:r w:rsidR="00F3004B">
        <w:rPr>
          <w:rStyle w:val="Forte"/>
          <w:rFonts w:ascii="Arial" w:hAnsi="Arial" w:cs="Arial"/>
          <w:b w:val="0"/>
          <w:color w:val="222222"/>
          <w:sz w:val="20"/>
          <w:szCs w:val="26"/>
        </w:rPr>
        <w:t xml:space="preserve"> para optantes do SIMPLES</w:t>
      </w:r>
      <w:r>
        <w:rPr>
          <w:rStyle w:val="Forte"/>
          <w:rFonts w:ascii="Arial" w:hAnsi="Arial" w:cs="Arial"/>
          <w:b w:val="0"/>
          <w:color w:val="222222"/>
          <w:sz w:val="20"/>
          <w:szCs w:val="26"/>
        </w:rPr>
        <w:t>. Por isso, foi regulamentado apenas as hipóteses de estorno de débito, que pode ser utilizado pelas empresas enquadradas no regime de apuração normal do imposto, cujo controle é realizado em documento auxiliar regulamentado pelo A</w:t>
      </w:r>
      <w:r w:rsidR="00F3004B">
        <w:rPr>
          <w:rStyle w:val="Forte"/>
          <w:rFonts w:ascii="Arial" w:hAnsi="Arial" w:cs="Arial"/>
          <w:b w:val="0"/>
          <w:color w:val="222222"/>
          <w:sz w:val="20"/>
          <w:szCs w:val="26"/>
        </w:rPr>
        <w:t>TO</w:t>
      </w:r>
      <w:r>
        <w:rPr>
          <w:rStyle w:val="Forte"/>
          <w:rFonts w:ascii="Arial" w:hAnsi="Arial" w:cs="Arial"/>
          <w:b w:val="0"/>
          <w:color w:val="222222"/>
          <w:sz w:val="20"/>
          <w:szCs w:val="26"/>
        </w:rPr>
        <w:t xml:space="preserve"> C</w:t>
      </w:r>
      <w:r w:rsidR="00F3004B">
        <w:rPr>
          <w:rStyle w:val="Forte"/>
          <w:rFonts w:ascii="Arial" w:hAnsi="Arial" w:cs="Arial"/>
          <w:b w:val="0"/>
          <w:color w:val="222222"/>
          <w:sz w:val="20"/>
          <w:szCs w:val="26"/>
        </w:rPr>
        <w:t>OTEPE nº</w:t>
      </w:r>
      <w:r>
        <w:rPr>
          <w:rStyle w:val="Forte"/>
          <w:rFonts w:ascii="Arial" w:hAnsi="Arial" w:cs="Arial"/>
          <w:b w:val="0"/>
          <w:color w:val="222222"/>
          <w:sz w:val="20"/>
          <w:szCs w:val="26"/>
        </w:rPr>
        <w:t xml:space="preserve"> 24/2010.</w:t>
      </w:r>
    </w:p>
    <w:p w14:paraId="4512EEC0" w14:textId="77777777" w:rsidR="00650DA7" w:rsidRDefault="00650DA7" w:rsidP="00F54E45">
      <w:pPr>
        <w:jc w:val="both"/>
        <w:rPr>
          <w:rStyle w:val="Forte"/>
          <w:rFonts w:ascii="Arial" w:hAnsi="Arial" w:cs="Arial"/>
          <w:b w:val="0"/>
          <w:color w:val="222222"/>
          <w:sz w:val="20"/>
          <w:szCs w:val="26"/>
        </w:rPr>
      </w:pPr>
      <w:r>
        <w:rPr>
          <w:rStyle w:val="Forte"/>
          <w:rFonts w:ascii="Arial" w:hAnsi="Arial" w:cs="Arial"/>
          <w:b w:val="0"/>
          <w:color w:val="222222"/>
          <w:sz w:val="20"/>
          <w:szCs w:val="26"/>
        </w:rPr>
        <w:t>A empresa que consulta</w:t>
      </w:r>
      <w:r w:rsidR="00C0678F">
        <w:rPr>
          <w:rStyle w:val="Forte"/>
          <w:rFonts w:ascii="Arial" w:hAnsi="Arial" w:cs="Arial"/>
          <w:b w:val="0"/>
          <w:color w:val="222222"/>
          <w:sz w:val="20"/>
          <w:szCs w:val="26"/>
        </w:rPr>
        <w:t>,</w:t>
      </w:r>
      <w:r>
        <w:rPr>
          <w:rStyle w:val="Forte"/>
          <w:rFonts w:ascii="Arial" w:hAnsi="Arial" w:cs="Arial"/>
          <w:b w:val="0"/>
          <w:color w:val="222222"/>
          <w:sz w:val="20"/>
          <w:szCs w:val="26"/>
        </w:rPr>
        <w:t xml:space="preserve"> </w:t>
      </w:r>
      <w:r w:rsidRPr="00F3004B">
        <w:rPr>
          <w:rStyle w:val="Forte"/>
          <w:rFonts w:ascii="Arial" w:hAnsi="Arial" w:cs="Arial"/>
          <w:bCs w:val="0"/>
          <w:color w:val="222222"/>
          <w:sz w:val="20"/>
          <w:szCs w:val="26"/>
        </w:rPr>
        <w:t>A KREFTA – TECNOLOGIA E EMPREENDIMENTOS</w:t>
      </w:r>
      <w:r>
        <w:rPr>
          <w:rStyle w:val="Forte"/>
          <w:rFonts w:ascii="Arial" w:hAnsi="Arial" w:cs="Arial"/>
          <w:b w:val="0"/>
          <w:color w:val="222222"/>
          <w:sz w:val="20"/>
          <w:szCs w:val="26"/>
        </w:rPr>
        <w:t xml:space="preserve"> – 13.422.147-8</w:t>
      </w:r>
      <w:r w:rsidR="00C0678F">
        <w:rPr>
          <w:rStyle w:val="Forte"/>
          <w:rFonts w:ascii="Arial" w:hAnsi="Arial" w:cs="Arial"/>
          <w:b w:val="0"/>
          <w:color w:val="222222"/>
          <w:sz w:val="20"/>
          <w:szCs w:val="26"/>
        </w:rPr>
        <w:t>,</w:t>
      </w:r>
      <w:r>
        <w:rPr>
          <w:rStyle w:val="Forte"/>
          <w:rFonts w:ascii="Arial" w:hAnsi="Arial" w:cs="Arial"/>
          <w:b w:val="0"/>
          <w:color w:val="222222"/>
          <w:sz w:val="20"/>
          <w:szCs w:val="26"/>
        </w:rPr>
        <w:t xml:space="preserve"> é optante pelo</w:t>
      </w:r>
      <w:r w:rsidR="00C0678F">
        <w:rPr>
          <w:rStyle w:val="Forte"/>
          <w:rFonts w:ascii="Arial" w:hAnsi="Arial" w:cs="Arial"/>
          <w:b w:val="0"/>
          <w:color w:val="222222"/>
          <w:sz w:val="20"/>
          <w:szCs w:val="26"/>
        </w:rPr>
        <w:t xml:space="preserve"> regime de apuração do imposto regulamento pelo</w:t>
      </w:r>
      <w:r>
        <w:rPr>
          <w:rStyle w:val="Forte"/>
          <w:rFonts w:ascii="Arial" w:hAnsi="Arial" w:cs="Arial"/>
          <w:b w:val="0"/>
          <w:color w:val="222222"/>
          <w:sz w:val="20"/>
          <w:szCs w:val="26"/>
        </w:rPr>
        <w:t xml:space="preserve"> </w:t>
      </w:r>
      <w:r w:rsidRPr="00F3004B">
        <w:rPr>
          <w:rStyle w:val="Forte"/>
          <w:rFonts w:ascii="Arial" w:hAnsi="Arial" w:cs="Arial"/>
          <w:bCs w:val="0"/>
          <w:color w:val="222222"/>
          <w:sz w:val="20"/>
          <w:szCs w:val="26"/>
        </w:rPr>
        <w:t>SIMPLES NACIONAL</w:t>
      </w:r>
      <w:r w:rsidR="00C0678F">
        <w:rPr>
          <w:rStyle w:val="Forte"/>
          <w:rFonts w:ascii="Arial" w:hAnsi="Arial" w:cs="Arial"/>
          <w:b w:val="0"/>
          <w:color w:val="222222"/>
          <w:sz w:val="20"/>
          <w:szCs w:val="26"/>
        </w:rPr>
        <w:t>, que não tem permissão para usar quaisquer créditos do imposto</w:t>
      </w:r>
      <w:r>
        <w:rPr>
          <w:rStyle w:val="Forte"/>
          <w:rFonts w:ascii="Arial" w:hAnsi="Arial" w:cs="Arial"/>
          <w:b w:val="0"/>
          <w:color w:val="222222"/>
          <w:sz w:val="20"/>
          <w:szCs w:val="26"/>
        </w:rPr>
        <w:t xml:space="preserve">. Portanto, não </w:t>
      </w:r>
      <w:r w:rsidR="00C0678F">
        <w:rPr>
          <w:rStyle w:val="Forte"/>
          <w:rFonts w:ascii="Arial" w:hAnsi="Arial" w:cs="Arial"/>
          <w:b w:val="0"/>
          <w:color w:val="222222"/>
          <w:sz w:val="20"/>
          <w:szCs w:val="26"/>
        </w:rPr>
        <w:t>se enquadra nas hipóteses de estorno de débito</w:t>
      </w:r>
      <w:r>
        <w:rPr>
          <w:rStyle w:val="Forte"/>
          <w:rFonts w:ascii="Arial" w:hAnsi="Arial" w:cs="Arial"/>
          <w:b w:val="0"/>
          <w:color w:val="222222"/>
          <w:sz w:val="20"/>
          <w:szCs w:val="26"/>
        </w:rPr>
        <w:t>.</w:t>
      </w:r>
      <w:r w:rsidR="00C0678F">
        <w:rPr>
          <w:rStyle w:val="Forte"/>
          <w:rFonts w:ascii="Arial" w:hAnsi="Arial" w:cs="Arial"/>
          <w:b w:val="0"/>
          <w:color w:val="222222"/>
          <w:sz w:val="20"/>
          <w:szCs w:val="26"/>
        </w:rPr>
        <w:t xml:space="preserve"> </w:t>
      </w:r>
    </w:p>
    <w:p w14:paraId="025E2422" w14:textId="77777777" w:rsidR="00F54E45" w:rsidRDefault="00F54E45" w:rsidP="00F54E45">
      <w:pPr>
        <w:jc w:val="both"/>
        <w:rPr>
          <w:rFonts w:ascii="Arial" w:hAnsi="Arial" w:cs="Arial"/>
          <w:color w:val="323E4F" w:themeColor="text2" w:themeShade="BF"/>
          <w:sz w:val="18"/>
          <w:szCs w:val="18"/>
        </w:rPr>
      </w:pPr>
      <w:r w:rsidRPr="00536579">
        <w:rPr>
          <w:rFonts w:ascii="Arial" w:hAnsi="Arial" w:cs="Arial"/>
          <w:b/>
          <w:color w:val="323E4F" w:themeColor="text2" w:themeShade="BF"/>
          <w:sz w:val="18"/>
          <w:szCs w:val="18"/>
        </w:rPr>
        <w:t>OBSERVAÇÃO IMPORTANTE</w:t>
      </w:r>
      <w:r>
        <w:rPr>
          <w:rFonts w:ascii="Arial" w:hAnsi="Arial" w:cs="Arial"/>
          <w:color w:val="323E4F" w:themeColor="text2" w:themeShade="BF"/>
          <w:sz w:val="18"/>
          <w:szCs w:val="18"/>
        </w:rPr>
        <w:t>: essas respostas não têm valor vinculante, pois a CFCS não possui atribuição regimental para responder dúvidas tributárias. Se quiser uma consulta formal e vinculante gentileza formular consulta conforme prevê o artigo 994 do RICMS/MT.</w:t>
      </w:r>
    </w:p>
    <w:p w14:paraId="709CD170" w14:textId="77777777" w:rsidR="00F54E45" w:rsidRDefault="00F54E45" w:rsidP="00F54E45">
      <w:pPr>
        <w:jc w:val="both"/>
        <w:rPr>
          <w:rFonts w:ascii="Arial" w:hAnsi="Arial" w:cs="Arial"/>
          <w:color w:val="323E4F" w:themeColor="text2" w:themeShade="BF"/>
          <w:sz w:val="18"/>
          <w:szCs w:val="18"/>
        </w:rPr>
      </w:pPr>
    </w:p>
    <w:p w14:paraId="4B1BB285" w14:textId="77777777" w:rsidR="00F54E45" w:rsidRPr="004B6DDB" w:rsidRDefault="00F54E45" w:rsidP="00F54E45">
      <w:pPr>
        <w:jc w:val="center"/>
        <w:rPr>
          <w:color w:val="000000"/>
        </w:rPr>
      </w:pPr>
      <w:r>
        <w:rPr>
          <w:rFonts w:ascii="Arial" w:hAnsi="Arial" w:cs="Arial"/>
          <w:color w:val="FF0000"/>
          <w:shd w:val="clear" w:color="auto" w:fill="FFFFFF"/>
        </w:rPr>
        <w:t>"As dúvidas esclarecidas por esta mensagem têm caráter orientativo, não gerando efeito de consulta formal, nos termos do Art. 996 do RICMS/2014".</w:t>
      </w:r>
    </w:p>
    <w:p w14:paraId="009C7A67" w14:textId="77777777" w:rsidR="00F54E45" w:rsidRPr="00E85F67" w:rsidRDefault="00F54E45" w:rsidP="00F54E45">
      <w:pPr>
        <w:jc w:val="both"/>
        <w:rPr>
          <w:rFonts w:ascii="Arial" w:hAnsi="Arial" w:cs="Arial"/>
          <w:sz w:val="16"/>
        </w:rPr>
      </w:pPr>
    </w:p>
    <w:sectPr w:rsidR="00F54E45" w:rsidRPr="00E85F67" w:rsidSect="00BE6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20"/>
    <w:rsid w:val="000731DA"/>
    <w:rsid w:val="002A1746"/>
    <w:rsid w:val="002B4FDD"/>
    <w:rsid w:val="00650DA7"/>
    <w:rsid w:val="006A0E45"/>
    <w:rsid w:val="0074138B"/>
    <w:rsid w:val="00744E7A"/>
    <w:rsid w:val="00780052"/>
    <w:rsid w:val="007F7BED"/>
    <w:rsid w:val="008741E3"/>
    <w:rsid w:val="00940BB6"/>
    <w:rsid w:val="009C1220"/>
    <w:rsid w:val="00BE6438"/>
    <w:rsid w:val="00BE6CC7"/>
    <w:rsid w:val="00BF52A9"/>
    <w:rsid w:val="00C000DE"/>
    <w:rsid w:val="00C0678F"/>
    <w:rsid w:val="00D65F02"/>
    <w:rsid w:val="00E85F67"/>
    <w:rsid w:val="00ED5B35"/>
    <w:rsid w:val="00F3004B"/>
    <w:rsid w:val="00F5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382F"/>
  <w15:docId w15:val="{ADC1FF0B-04B1-487B-9782-428346D0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2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85F67"/>
    <w:rPr>
      <w:b/>
      <w:bCs/>
    </w:rPr>
  </w:style>
  <w:style w:type="character" w:styleId="nfase">
    <w:name w:val="Emphasis"/>
    <w:basedOn w:val="Fontepargpadro"/>
    <w:uiPriority w:val="20"/>
    <w:qFormat/>
    <w:rsid w:val="00E85F67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85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1.sefaz.mt.gov.br/Sistema/Legislacao/legislacaotribut.nsf/7c7b6a9347c50f55032569140065ebbf/e4d0ad570e197237032567930058bc3d?OpenDocument" TargetMode="External"/><Relationship Id="rId5" Type="http://schemas.openxmlformats.org/officeDocument/2006/relationships/hyperlink" Target="http://app1.sefaz.mt.gov.br/Sistema/Legislacao/legislacaotribut.nsf/7c7b6a9347c50f55032569140065ebbf/e4d0ad570e197237032567930058bc3d?OpenDocument" TargetMode="External"/><Relationship Id="rId4" Type="http://schemas.openxmlformats.org/officeDocument/2006/relationships/hyperlink" Target="http://app1.sefaz.mt.gov.br/Sistema/Legislacao/legislacaotribut.nsf/7c7b6a9347c50f55032569140065ebbf/9c3bb697cfe6fc3b0425709a0045355e?OpenDocumen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de Fazenda de Mato Grosso</Company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Oliveira Lima</dc:creator>
  <cp:keywords/>
  <dc:description/>
  <cp:lastModifiedBy>Conta da Microsoft</cp:lastModifiedBy>
  <cp:revision>2</cp:revision>
  <dcterms:created xsi:type="dcterms:W3CDTF">2024-02-23T12:58:00Z</dcterms:created>
  <dcterms:modified xsi:type="dcterms:W3CDTF">2024-02-23T12:58:00Z</dcterms:modified>
</cp:coreProperties>
</file>